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2E" w:rsidRPr="00EF1C2E" w:rsidRDefault="00EF1C2E" w:rsidP="00EF1C2E">
      <w:pPr>
        <w:pStyle w:val="Nadpis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F1C2E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begin"/>
      </w:r>
      <w:r w:rsidRPr="00EF1C2E">
        <w:rPr>
          <w:rFonts w:ascii="Times New Roman" w:hAnsi="Times New Roman" w:cs="Times New Roman"/>
          <w:color w:val="000000" w:themeColor="text1"/>
          <w:sz w:val="36"/>
          <w:szCs w:val="36"/>
        </w:rPr>
        <w:instrText xml:space="preserve"> HYPERLINK "http://marias.motando.cz/index.php/pravidla/100000029-pravidla-krizoveho-licitovaneho-mariase-platna-od-6-9-2016" </w:instrText>
      </w:r>
      <w:r w:rsidRPr="00EF1C2E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separate"/>
      </w:r>
      <w:r w:rsidRPr="00EF1C2E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 xml:space="preserve">PRAVIDLA KŘÍŽOVÉHO LICITOVANÉHO MARIÁŠE (platná od </w:t>
      </w:r>
      <w:proofErr w:type="gramStart"/>
      <w:r w:rsidRPr="00EF1C2E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>6.9.2016</w:t>
      </w:r>
      <w:proofErr w:type="gramEnd"/>
      <w:r w:rsidRPr="00EF1C2E">
        <w:rPr>
          <w:rStyle w:val="Hypertextovodkaz"/>
          <w:rFonts w:ascii="Times New Roman" w:hAnsi="Times New Roman" w:cs="Times New Roman"/>
          <w:color w:val="000000" w:themeColor="text1"/>
          <w:sz w:val="36"/>
          <w:szCs w:val="36"/>
          <w:u w:val="none"/>
        </w:rPr>
        <w:t>)</w:t>
      </w:r>
      <w:r w:rsidRPr="00EF1C2E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end"/>
      </w:r>
      <w:bookmarkStart w:id="0" w:name="_GoBack"/>
      <w:bookmarkEnd w:id="0"/>
    </w:p>
    <w:p w:rsidR="00CD0E60" w:rsidRDefault="00CD0E60"/>
    <w:p w:rsidR="00EF1C2E" w:rsidRPr="00EF1C2E" w:rsidRDefault="00EF1C2E" w:rsidP="00EF1C2E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F1C2E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Článek I.</w:t>
      </w:r>
      <w:r w:rsidRPr="00EF1C2E">
        <w:rPr>
          <w:rFonts w:ascii="Times New Roman" w:eastAsia="Mariáš" w:hAnsi="Times New Roman" w:cs="Times New Roman"/>
          <w:b/>
          <w:bCs/>
          <w:sz w:val="14"/>
          <w:szCs w:val="14"/>
          <w:lang w:eastAsia="cs-CZ"/>
        </w:rPr>
        <w:t xml:space="preserve">            </w:t>
      </w:r>
      <w:r w:rsidRPr="00EF1C2E">
        <w:rPr>
          <w:rFonts w:ascii="Times New Roman" w:eastAsia="Mariáš" w:hAnsi="Times New Roman" w:cs="Mariáš"/>
          <w:b/>
          <w:bCs/>
          <w:sz w:val="27"/>
          <w:szCs w:val="27"/>
          <w:lang w:eastAsia="cs-CZ"/>
        </w:rPr>
        <w:t>Licitační žebříček a sazebník se základem 0,20 Kč</w:t>
      </w:r>
    </w:p>
    <w:p w:rsidR="00EF1C2E" w:rsidRPr="00EF1C2E" w:rsidRDefault="00EF1C2E" w:rsidP="00EF1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3894"/>
        <w:gridCol w:w="435"/>
        <w:gridCol w:w="2669"/>
        <w:gridCol w:w="1068"/>
      </w:tblGrid>
      <w:tr w:rsidR="00EF1C2E" w:rsidRPr="00EF1C2E" w:rsidTr="00EF1C2E">
        <w:trPr>
          <w:trHeight w:val="20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Stupeň</w:t>
            </w:r>
          </w:p>
        </w:tc>
        <w:tc>
          <w:tcPr>
            <w:tcW w:w="2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Závazek (druh hry)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Druhy hry či platby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884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Sazba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sedma červená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a sedma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červených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 a sedma červených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dvě sedmy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8,00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Betl</w:t>
            </w:r>
            <w:proofErr w:type="spellEnd"/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tichá sedma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Durch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omyl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1,20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dvě sedmy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renonc</w:t>
            </w:r>
            <w:proofErr w:type="spellEnd"/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 xml:space="preserve"> – paušál 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2,00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dvě sedmy a sto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renonc</w:t>
            </w:r>
            <w:proofErr w:type="spellEnd"/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 xml:space="preserve"> – paušál 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10,00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dvě sedmy, červená trumf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limit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FA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</w:tr>
      <w:tr w:rsidR="00EF1C2E" w:rsidRPr="00EF1C2E" w:rsidTr="00EF1C2E">
        <w:trPr>
          <w:trHeight w:val="20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dvě sedmy, červená trumf a sto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zvýšený limit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C2E" w:rsidRPr="00EF1C2E" w:rsidRDefault="00EF1C2E" w:rsidP="00EF1C2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1C2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cs-CZ"/>
              </w:rPr>
              <w:t>150,00</w:t>
            </w:r>
          </w:p>
        </w:tc>
      </w:tr>
    </w:tbl>
    <w:p w:rsidR="00EF1C2E" w:rsidRPr="00EF1C2E" w:rsidRDefault="00EF1C2E" w:rsidP="00EF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 xml:space="preserve">Licituje se od sedmy, pokud nikdo nepotvrdí základní hru, karty se složí a hraje se dál. </w:t>
      </w:r>
      <w:proofErr w:type="spellStart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>Betl</w:t>
      </w:r>
      <w:proofErr w:type="spellEnd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 xml:space="preserve"> se vykládá po výnosu do druhého štychu a není </w:t>
      </w:r>
      <w:proofErr w:type="spellStart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>kecaný</w:t>
      </w:r>
      <w:proofErr w:type="spellEnd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 xml:space="preserve">. Durch pouze sám. </w:t>
      </w:r>
    </w:p>
    <w:p w:rsidR="00EF1C2E" w:rsidRPr="00EF1C2E" w:rsidRDefault="00EF1C2E" w:rsidP="00EF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>Dvojice hráčů je považována za tým, takže hlásit je možné i hru „v ruce spoluhráče“, typicky „lepší sedma má sedmu“, přičemž sedmička je u kamaráda. Při této variantě je nutné mít v ruce alespoň jeden trumf       od barvy, kterou hlásím.</w:t>
      </w:r>
    </w:p>
    <w:p w:rsidR="00EF1C2E" w:rsidRPr="00EF1C2E" w:rsidRDefault="00EF1C2E" w:rsidP="00EF1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 xml:space="preserve">Dvě sedmy. Obecně hra, kdy aktér poslední štych dobere trumfovou sedmou a předposlední štych sedmou barvy </w:t>
      </w:r>
      <w:proofErr w:type="spellStart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>strkací</w:t>
      </w:r>
      <w:proofErr w:type="spellEnd"/>
      <w:r w:rsidRPr="00EF1C2E">
        <w:rPr>
          <w:rFonts w:ascii="Open Sans" w:eastAsia="Times New Roman" w:hAnsi="Open Sans" w:cs="Times New Roman"/>
          <w:color w:val="000000"/>
          <w:sz w:val="20"/>
          <w:szCs w:val="20"/>
          <w:lang w:eastAsia="cs-CZ"/>
        </w:rPr>
        <w:t xml:space="preserve">. Hraje se se stem, trvá povinnost stovku hlásit. </w:t>
      </w:r>
    </w:p>
    <w:p w:rsidR="00EF1C2E" w:rsidRPr="00EF1C2E" w:rsidRDefault="00EF1C2E" w:rsidP="00EF1C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F1C2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Článek II.</w:t>
      </w:r>
      <w:r w:rsidRPr="00EF1C2E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        </w:t>
      </w:r>
      <w:r w:rsidRPr="00EF1C2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Herní ustanovení: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Hrají se tři kola po 92 minutách. V případě počtu hráčů, který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dělitelný čtyřmi se u stolu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střídá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23 minutách. Pátý hráč se hry neúčastní a čeká, až na něj přijde řada. Všichni si odehrají hodinu a půl, někdo s přestávkami. Toto pravidlo zavádíme hlavně proto, abychom nemuseli nikoho odmítat.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U každého stolu budou šachové hodiny s možností zastavení času při případném přerušení hry, například pro rozhodčí.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má právo po předchozím napomenutí vyloučit z turnaje hráče, který ruší hru, neuznává pravidla zde uvedená, případně ústně vyhlášená pořadatelem, a hráče který je „společensky“ unaven.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prohrání vložené částky do hry ve výši 100,- Kč musí hráč dodat do hry další částku, dodání oznámí rozhodčímu.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Peníze jsou položeny při hře vždy přímo na stole, a to po pravé ruce hráče.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Hra je 0,20 Kč. Bez „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Ré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“ se nehraje.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Tichá sedma je za 0,20 Kč, červená za 0,40 Kč, hlášená vše dvojnásob.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Flek na sedmu se hraje.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Hlášená sedm a flek na hru se nehraje, ani neplatí.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fleku na loženou hru platí neflekující hráči základní sazbu,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flekují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hráč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doplatí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zbytek.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provinilec zaplatí všem hráčům paušál 2 Kč a výši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vyflekované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hry. Při požadování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prokáže jako neoprávněný, zaplatí provinilec opět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vyflekovanou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částku. Při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stovky je platba jako nahraných „130“ tj. 3,20 Kč, příp. červené 6,40 Kč.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stovce na „20“ se platí pouze jako „110“, tj. 1,60 Kč, případně červené 3,20 Kč.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rozdáním se karty nemíchají, pouze snímají.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Stovka je „povinná“, není však povinná pro „samce“.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volící hráč nahlásí sto a u spoluhráče je celá „40“, tento již sto hlásit nemusí, povinnost týmu nahlásit sto již byla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splněna..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dá některý hráč flek na hru před nahlášením povinné 100, musí tento hráč flek potvrdit nebo odvolat.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Hlášená stovka se platí 0,80 Kč, červená 1,60 Kč, sto deset 1,60 Kč, červená 3,20 Kč, sto dvacet 2,40 Kč, červené 4,80 Kč, sto třicet 3,20 Kč, červené 6,40 Kč. U tiché stovky se bere výše vytočené hry jako základ pro stovku krát 2.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hře sto a sedm je možné 7 lhát.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považuje jakékoliv ukázání karet spoluhráči - pokud hráč nedohrává všechny zdvihy do konce.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bodované hry mají aktéři nárok na body v případě, že je stále logicky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uhratelná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Rozhodnout o tom musí vždy přivolaný rozhodčí, přičemž má právo při posuzování hry z otevřených karet přiznat poškozené straně, že jí např. protihráči přijdou do esa, nepůjdou o trumf nebo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nešintnou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desítku. Obecně prospěšné bude se takových situací vyvarovat.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 jakémkoliv protestu se dává přednost dohodě hráčů u stolu. Když se hráči nedohodnou, oznámí toto rozhodčímu, který protest vyřeší.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spor trvá i nadále, může se protestující hráč odvolat po složení kauce 50 Kč k tříčlennému výboru rozhodčích. Proti rozhodnutí této instance již není odvolání. V případě zamítnutí protestu složená částka propadá ve prospěch pořadatele.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vyjádření hráčů musí být jednoznačně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 co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bude hrát Pozdější vyjádření je neplatné a posuzuje se jako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Hlásí se postupně,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dohlašuje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až k hráči, který se ještě může k hlášení vyjádřit. Opakované předčasné hlášení je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platí se         do výše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vyflekované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hry včetně předčasného hlášení.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reklamaci zapsaných výsledků musí být složena kauce 50,- Kč, která bude v případě oprávněné stížnosti vrácena. Stížnost je oprávněná pouze v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případě,že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hráč má na stolovém lístku jinou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částku než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byla zapsána do výsledku. Pokud bude stížnost neoprávněná, propadá částka ve prospěch manipulanta.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hry lze požádat o nahlédnutí do posledního štychu, pokud nebylo ještě vyneseno. Při podezření na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vynesení možno "odložit" štych stranou.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špatného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rozdání ,na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se přijde až v průběhu hry, se hra ruší od samého začátku, včetně všech fleků, protože ji nebylo možno regulérně sehrát.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případě,že</w:t>
      </w:r>
      <w:proofErr w:type="spellEnd"/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některý hráč odhodí v průběhu hry nesprávný počet karet (2 nebo nic) a přijde se na to až v průběhu další hry (karta mu chybí nebo přebývá a ostatní mají stejně), zaplatí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ustanovení, včetně všech fleků.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Hráč, který má v ruce loženou hru, může to po schválení hry a ukončeném flekování oznámit a karty vyložit na stůl. Totéž může učinit, pokud se v průběhu hry domnívá, že hra je již ložená. Pokud ale nemá pravdu, jedná se 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považovat variantu, že hráč učiní teoreticky možnou herní chybu. Za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nelze uznat teoreticky možnou chybu, kterou nelze prakticky provést. Pokud hráč dohrává hru bez sbírání štychů a přitom některý z nich mu nebude patřit, jedná se 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bez ohledu na to, zda dotyčný štych má vliv na výsledek hry. Ukázání karet protihráči (protihráčům) není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tedy hráč, který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sám vyloží karty, oznámí loženou hru a nemá pravdu, nejedná se 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je povinen dohrát z otevřeného listu.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Je zakázáno skládat hlasy při sehraném štychu na sebe. Pokud hráč odmítne dát druhou část hlášky do </w:t>
      </w:r>
      <w:proofErr w:type="gram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štychu kam</w:t>
      </w:r>
      <w:proofErr w:type="gram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patří, je možno to posoudit jako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hře (nebo jako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stovce).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zakázáno samostatně prohlížet vlastní odehrané štychy. Zpět do štychů se lze dívat pouze při společné kontrole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renoncu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do posledního před vynesením.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Flek na </w:t>
      </w:r>
      <w:proofErr w:type="spellStart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trháka</w:t>
      </w:r>
      <w:proofErr w:type="spellEnd"/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povinný.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herního kola mohou hráči opustit stůl až po součtu, zápisu a odevzdání stolového lístku rozhodčímu. Pozdější reklamace proti zápisu se nepřipouští.</w:t>
      </w:r>
    </w:p>
    <w:p w:rsidR="00EF1C2E" w:rsidRPr="00EF1C2E" w:rsidRDefault="00EF1C2E" w:rsidP="00EF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>Do celkového hodnocení turnaje získávají hráči body podle pořadí v kole, vítězí hráč s nejvyšším součtem.</w:t>
      </w:r>
    </w:p>
    <w:p w:rsidR="00EF1C2E" w:rsidRPr="00EF1C2E" w:rsidRDefault="00EF1C2E" w:rsidP="00EF1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6" w:anchor="body" w:history="1">
        <w:r w:rsidRPr="00EF1C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Příloha: Bodovací tabulka</w:t>
        </w:r>
      </w:hyperlink>
    </w:p>
    <w:p w:rsidR="00EF1C2E" w:rsidRPr="00EF1C2E" w:rsidRDefault="00EF1C2E" w:rsidP="00EF1C2E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Budu vděčný za připomínky či dotazy. </w:t>
      </w: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Tomáš Jirkovský </w:t>
      </w:r>
    </w:p>
    <w:p w:rsidR="00EF1C2E" w:rsidRPr="00EF1C2E" w:rsidRDefault="00EF1C2E" w:rsidP="00EF1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C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739 544 145 </w:t>
      </w:r>
      <w:hyperlink r:id="rId7" w:history="1">
        <w:r w:rsidRPr="00EF1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tomas.jirkovsky@re-max.cz</w:t>
        </w:r>
      </w:hyperlink>
    </w:p>
    <w:p w:rsidR="00EF1C2E" w:rsidRDefault="00EF1C2E"/>
    <w:sectPr w:rsidR="00EF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iáš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40E"/>
    <w:multiLevelType w:val="multilevel"/>
    <w:tmpl w:val="6242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2E"/>
    <w:rsid w:val="00CD0E60"/>
    <w:rsid w:val="00E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F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1C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C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1C2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1C2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F1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1C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1C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C2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1C2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1C2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mas.jirkovsky@re-ma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as.motando.cz/index.php/pravidla/100000031-bodovaci-tabulka-krizoveho-licitovaneho-maria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Miloš</dc:creator>
  <cp:lastModifiedBy>Kučera Miloš</cp:lastModifiedBy>
  <cp:revision>1</cp:revision>
  <dcterms:created xsi:type="dcterms:W3CDTF">2022-05-25T08:46:00Z</dcterms:created>
  <dcterms:modified xsi:type="dcterms:W3CDTF">2022-05-25T08:47:00Z</dcterms:modified>
</cp:coreProperties>
</file>