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F" w:rsidRPr="00C7098F" w:rsidRDefault="00C7098F" w:rsidP="00C7098F">
      <w:pPr>
        <w:pStyle w:val="Nadpis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7098F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begin"/>
      </w:r>
      <w:r w:rsidRPr="00C7098F">
        <w:rPr>
          <w:rFonts w:ascii="Times New Roman" w:hAnsi="Times New Roman" w:cs="Times New Roman"/>
          <w:color w:val="000000" w:themeColor="text1"/>
          <w:sz w:val="36"/>
          <w:szCs w:val="36"/>
        </w:rPr>
        <w:instrText xml:space="preserve"> HYPERLINK "http://marias.motando.cz/index.php/pravidla/100000026-pravidla-20h-bodovaneho-krizoveho-mariase-platna-od-1-4-2003" </w:instrText>
      </w:r>
      <w:r w:rsidRPr="00C7098F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separate"/>
      </w:r>
      <w:r w:rsidRPr="00C7098F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PRAVIDLA BODOVANÉHO KŘÍŽOVÉHO MARIÁŠE (platná od </w:t>
      </w:r>
      <w:proofErr w:type="gramStart"/>
      <w:r w:rsidRPr="00C7098F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>1.4.2003</w:t>
      </w:r>
      <w:proofErr w:type="gramEnd"/>
      <w:r w:rsidRPr="00C7098F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>)</w:t>
      </w:r>
      <w:r w:rsidRPr="00C7098F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end"/>
      </w:r>
      <w:bookmarkStart w:id="0" w:name="_GoBack"/>
      <w:bookmarkEnd w:id="0"/>
    </w:p>
    <w:p w:rsidR="00CD0E60" w:rsidRDefault="00CD0E60"/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Článek I.</w:t>
      </w:r>
      <w:r w:rsidRPr="00C7098F">
        <w:rPr>
          <w:rFonts w:ascii="Times New Roman" w:eastAsia="Mariáš" w:hAnsi="Times New Roman" w:cs="Times New Roman"/>
          <w:b/>
          <w:bCs/>
          <w:sz w:val="14"/>
          <w:szCs w:val="14"/>
          <w:lang w:eastAsia="cs-CZ"/>
        </w:rPr>
        <w:t xml:space="preserve">            </w:t>
      </w: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Stupně her a sazby v Kč (dvacetihaléřový mariáš):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</w:p>
    <w:tbl>
      <w:tblPr>
        <w:tblW w:w="5000" w:type="pct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1130"/>
        <w:gridCol w:w="7370"/>
        <w:gridCol w:w="1122"/>
      </w:tblGrid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9BBB59" w:themeFill="accent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Stupeň</w:t>
            </w:r>
          </w:p>
        </w:tc>
        <w:tc>
          <w:tcPr>
            <w:tcW w:w="3830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9BBB59" w:themeFill="accent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3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Sazba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sedma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 červená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sedma červená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 a sedma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 červených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 a sedma červených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</w:t>
            </w:r>
            <w:proofErr w:type="spellEnd"/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durch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6,00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 a sedma obyčejná (schválená)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0,60</w:t>
            </w:r>
          </w:p>
        </w:tc>
      </w:tr>
      <w:tr w:rsidR="00C7098F" w:rsidRPr="00C7098F" w:rsidTr="00C7098F">
        <w:trPr>
          <w:trHeight w:val="20"/>
        </w:trPr>
        <w:tc>
          <w:tcPr>
            <w:tcW w:w="58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30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 a sedma červená (schválená)</w:t>
            </w:r>
          </w:p>
        </w:tc>
        <w:tc>
          <w:tcPr>
            <w:tcW w:w="583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:rsidR="00C7098F" w:rsidRPr="00C7098F" w:rsidRDefault="00C7098F" w:rsidP="00C7098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9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1,20</w:t>
            </w:r>
          </w:p>
        </w:tc>
      </w:tr>
    </w:tbl>
    <w:p w:rsidR="00C7098F" w:rsidRPr="00C7098F" w:rsidRDefault="00C7098F" w:rsidP="00C7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Tichá sedma má poloviční sazbu sedmy hlášené.   Tiché sto zvyšuje hodnotu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vyflekované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hry 2x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Článek II.</w:t>
      </w:r>
      <w:r w:rsidRPr="00C7098F">
        <w:rPr>
          <w:rFonts w:ascii="Times New Roman" w:eastAsia="Mariáš" w:hAnsi="Times New Roman" w:cs="Times New Roman"/>
          <w:b/>
          <w:bCs/>
          <w:sz w:val="14"/>
          <w:szCs w:val="14"/>
          <w:lang w:eastAsia="cs-CZ"/>
        </w:rPr>
        <w:t xml:space="preserve">         </w:t>
      </w: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Herní ustanovení (hraje se placený mariáš ve čtyřech):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O místa u stolu a o funkci zapisovatele se losuje, trvá-li na tom alespoň jeden z hráčů. Losování se provádí předem dohodnutým způsobem. Zapisovatel je povinen hry bodované 50 a více body zapsat na stolový lístek a je povinen se na stolový lístek čitelně podepsat (jinak postih pro všechny hráče u stolu dle §9 DŘ).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Karty se nemíchají, mohou se pouze snímat, a to nejméně dvě svrchu či zespodu. Nesmí se odpočítávat, slízávat či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odlistovávat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jak svrchu, tak zespodu.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3.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Karty snímá zadák. Po sehrávce skládá karty rozdávající. Řezání karet při skládání je považováno za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4.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Rozdává se klasicky, tj. každému hráči dvakrát po čtyřech kartách (ve směru chodu hodinových ručiček).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5.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každého hracího kola se může každý hráč dopustit jednoho chybného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rozdání aniž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následoval nějaký postih. Při druhém a každém dalším chybném rozdání hradí rozdávající hráč každému hráči u stolu částku 2,- Kč a rozdá znovu.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6.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Změnit již ohlášenou hru (např. při přeřeknutí) lze jen tehdy, nebyla-li hra dosud dle bodu B/8 komentována.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7.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schvalování, flekování a točení je nutno striktně dodržovat sled hodinových ručiček (jeden po druhém), až se kruh točení uzavře. Při nedodržení tohoto ustanovení se jedná o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který se postihuje pouze paušálem 2,-Kč dle bodu C7, předběhnutý hráč má právo dodatečného vyjádření a hra dále pokračuje.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8.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Hráči jsou povinni se k závazkům vyjádřit zřetelně slovem, nikoli mlčením nebo klepáním na stůl či do karet, pohybem hlavy anebo jiným neurčitým způsobem.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9.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Sedma lze hlásit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je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-li v ruce, musí zůstat jako poslední trumf a nesmí být vynesena dříve než v posledním zdvihu.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10.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Hráč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dá první, případně třetí a další flek na hru, za kterou jsou minusové body, platí za všechny (kromě částky za aktérem ohlášenou neflekovanou hru – tuto částku za sebe platí spoluhráč (spoluhráči), včetně otočení protihráče po svém posledním fleku, a v tomto rozsahu dostane rovněž minusové body. V případě zapojení třetího hráče do flekování platí všichni hráči, kteří se do flekování zapojili. V případě, že volící hráč hraje sám a hru, za kterou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minusové body mu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flekují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dva protihráči, platí mu tito dva sazbu rovným dílem, včetně podílu třetího hráče. V těchto případech dostává minusové body pouze hráč, který dal první (popř. i třetí a další fleky) v rozsahu do fleku, kterým se do flekování zapojil třetí hráč. Ustanovení tohoto bodu neplatí, pokud je hráč nucen dát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flek  na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hru  z povinnosti na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trháka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11.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Ložená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 při hře a stovce je tehdy, pokud hráč nemusí či nemůže pustit žádnou desítku, nebo pustí-li desítku úmyslně (za loženou se nepovažuje hra, kdy hráč uhraje všechny desítky, včetně posledního zdvihu, díky příznivé sloze či chybné sehrávce protihráčů a pokud existuje proti volícímu hráči teoretická sloha 100 mariášů). U her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sedma  je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loženou hrou ta, kdy hráč nepouští žádný zdvih (za loženou se nepovažuje hra, kdy hráč uhraje všechny zdvihy, včetně posledního, díky příznivé sloze, chybnému výnosu či sehrávce protihráčů). U hry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betl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ložená hra, kdy hráč pouští všechny zdvihy, u hry durch naopak hráč všechny zdvihy uhrává.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12.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hráč na ruce hru, která je ložená, musí ji po jejím okomentování ihned ukázat a nehraje ji. Pokud by tuto hru hrál, je sehrávka považována za míchání karet. Hráči je zaplacena hra, on sám však zaplatí protihráčům po 2,-Kč za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(míchání karet). Může se jednat o pokus o podvodné získání prémiových bodů při ložené hře.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13.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volící hráč po okomentování hry nebo i v jejím průběhu prohlásí, že hra je již ložená (všechny následující zdvihy jdou za ním) a není tomu tak, je povinen na žádost protistrany dohrát hru z otevřených karet,  nejedná se o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14.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volící hráč zapomene volit, musí dodatečně volit buď červené sám (kartu, kterou má sám na ruce)  nebo hrát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betla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durcha. Povolena je i volba z „lidu“ (tj. „poslepu“ z druhých čtyř karet).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15.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Volaná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"čtyřka", je-li celá, má povinnost hlásit 100, stejně tak má-li celou "čtyřku" v ruce volící hráč i když volí cokoli jiného, je povinen hlásit 100  i  v  případě, že zvolil sám sebe.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16.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bodu 15. neplatí v případě, dá-li ještě před ohlášením hry 100 (100+7) protihráč flek na hru.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17.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 "BETL" se po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vynešení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druhého zdvihu položí karty lícem na stůl a dále pokračuje otevřená hra, ale potichu, "bez komentářů". Zdlouhavé zkoumání se vyloučí shodným prohlášením protihráčů "PLATÍM". Pokud se tak nestane, pokračuje hledání maximálně 2 minuty. Není-li nalezeno řešení, vyhrává hru BETL aktér.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18.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Hra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"DURCH"  lze  ohlásit  pouze jako  DURCH  nebo  "CHYTRÝ", nikoliv  "s někým, s kartou", aktér musí uhrát minimálně prvních 7 zdvihů, jinak prohrává.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19.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trháka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povinnost flekovat.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20.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Flekovaná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 se bez “re”  nehraje.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21.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Flekovat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může pouze to, co se momentálně komentuje. Ohlášený aktérův závazek schválený všemi protihráči nemůže již být v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 kolech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flekován.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lastRenderedPageBreak/>
        <w:t>22.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Sedma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, sto  i  sto + sedm proti lze hlásit.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Bodování křížového mariáše:</w:t>
      </w:r>
    </w:p>
    <w:p w:rsidR="00C7098F" w:rsidRPr="00C7098F" w:rsidRDefault="00C7098F" w:rsidP="00C7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Pro  přidělení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prémiových bodů za hlášenou a vyhranou sedmu platí počet trumfů, které měl na ruce hráč, který sedmu hlásil, trumfy u spolu hrajících hráčů se nesčítají. U vyšších bodovaných hlášených her (stovek) se u spolu hrajících hráčů se trumfy sčítají.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Body za vyhrané hlášené bodované hry přísluší každému aktérovi v plné výši. Body za flekované hry přísluší pouze flekujícímu hráči.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Článek III.</w:t>
      </w:r>
      <w:r w:rsidRPr="00C7098F">
        <w:rPr>
          <w:rFonts w:ascii="Times New Roman" w:eastAsia="Mariáš" w:hAnsi="Times New Roman" w:cs="Times New Roman"/>
          <w:b/>
          <w:bCs/>
          <w:sz w:val="14"/>
          <w:szCs w:val="14"/>
          <w:lang w:eastAsia="cs-CZ"/>
        </w:rPr>
        <w:t xml:space="preserve">       </w:t>
      </w: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Ustanovení o </w:t>
      </w:r>
      <w:proofErr w:type="spellStart"/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renoncích</w:t>
      </w:r>
      <w:proofErr w:type="spellEnd"/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Renoncem</w:t>
      </w:r>
      <w:proofErr w:type="spellEnd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je: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nepřiznání barvy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nepřebití nižší karty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3.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nesprávné vynesení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4.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předhození karty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5.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řezání a míchání karet (týká se i manipulace s kartami před odložením na stůl, pokud nedojde k sehrávce)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6.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náznaky, signály, ovlivňování, prozrazení karty spoluhráči (i od pauzírujícího hráče)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7.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postupu při schvalování, flekování a točení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8.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bodů B/9, B/12  a B/15  herních ustanovení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Renoncem</w:t>
      </w:r>
      <w:proofErr w:type="spellEnd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není: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prozrazení karet protihráči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ohlásí-li hráč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betla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durcha dříve, než položil kartu na stůl (před případným flekováním nutno hráče upozornit)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3.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flek nad rámec bodovací tabulky; jako poslední platí vždy ten, který je ještě v tabulce uveden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4.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neurážející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mariášnický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humor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Postih za </w:t>
      </w:r>
      <w:proofErr w:type="spellStart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7098F" w:rsidRPr="00C7098F" w:rsidRDefault="00C7098F" w:rsidP="00C7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č.1 až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8: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paušál 2,-Kč (úhrada všem ostatním) Paušály jsou mimo úhradu hry.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Článek IV.</w:t>
      </w:r>
      <w:r w:rsidRPr="00C7098F">
        <w:rPr>
          <w:rFonts w:ascii="Times New Roman" w:eastAsia="Mariáš" w:hAnsi="Times New Roman" w:cs="Times New Roman"/>
          <w:b/>
          <w:bCs/>
          <w:sz w:val="14"/>
          <w:szCs w:val="14"/>
          <w:lang w:eastAsia="cs-CZ"/>
        </w:rPr>
        <w:t xml:space="preserve">       </w:t>
      </w: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Další řešení </w:t>
      </w:r>
      <w:proofErr w:type="spellStart"/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renonců</w:t>
      </w:r>
      <w:proofErr w:type="spellEnd"/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Strana, která udělala uznaný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(vyjma C7), okamžikem uznání při všech sehrávkách prohrála, netrvá-li protistrana na dohrávce.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Hráč, který se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dopustil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všem protihráčům. Paušál platí hráč, který se dopustil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, všem ostatním (tzn. Protihráčům i případnému spoluhráči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3.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Renonce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dohrávají pouze na přání protistrany a v případě, že prohraje, platí výsledek dohrávky, jako kdyby v předchozí hře nedošlo k žádnému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(vyjma zaplacení paušálu).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lastRenderedPageBreak/>
        <w:t>4.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Hráč, který se dopustil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 kterém nenásleduje dohrávka, platí základní sazbu hry + paušál všem ostatním. V případě, že následuje dohrávka, platí hráč, který se dopustil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pouze paušál a výsledek dohrávky se platí až po jejím skončení podle bodu D2. Dojde-li v průběhu dohrávky k dalšímu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téže strany, je povinna zaplatit paušál i za tento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protistrana má i nadále nárok na dohrávku. Pokud další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udělá protistrana, ztrácí nárok na dohrávku, zaplatí paušál a nárok na dohrávku získává strana první, atd.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5.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dohrávky jsou přiznány body pouze straně, která ji vyhrála, avšak hráč, který se dopustil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nemá nárok na body v žádném případě. Poškozený spoluhráč hráče, který se dopustil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nárok na body, včetně prémií, jestliže protihráč nechce hru dohrávat.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6.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při hře bodované více jak 50 PB k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dostane aktér prémiové </w:t>
      </w:r>
      <w:proofErr w:type="gram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body pouze</w:t>
      </w:r>
      <w:proofErr w:type="gram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rozhodčí rozhodne, že byla hra teoreticky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vyhratelná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. Každá taková hra musí být na stolovém lístku označena.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Různé k </w:t>
      </w:r>
      <w:proofErr w:type="spellStart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renoncům</w:t>
      </w:r>
      <w:proofErr w:type="spellEnd"/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1.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Reklamace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renonce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možná jen do složení karet k rozdání.</w:t>
      </w:r>
    </w:p>
    <w:p w:rsidR="00C7098F" w:rsidRPr="00C7098F" w:rsidRDefault="00C7098F" w:rsidP="00C7098F">
      <w:pPr>
        <w:spacing w:before="20" w:after="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Open Sans" w:hAnsi="Times New Roman" w:cs="Times New Roman"/>
          <w:sz w:val="24"/>
          <w:szCs w:val="24"/>
          <w:lang w:eastAsia="cs-CZ"/>
        </w:rPr>
        <w:t>2.</w:t>
      </w:r>
      <w:r w:rsidRPr="00C7098F">
        <w:rPr>
          <w:rFonts w:ascii="Times New Roman" w:eastAsia="Open Sans" w:hAnsi="Times New Roman" w:cs="Times New Roman"/>
          <w:sz w:val="14"/>
          <w:szCs w:val="14"/>
          <w:lang w:eastAsia="cs-CZ"/>
        </w:rPr>
        <w:t xml:space="preserve">     </w:t>
      </w: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dalších sporných případech řeší věc rozhodčí, který je oprávněn označit za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jiná provinění v </w:t>
      </w:r>
      <w:proofErr w:type="spellStart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renoncích</w:t>
      </w:r>
      <w:proofErr w:type="spellEnd"/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shora neuvedená.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098F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Článek V.</w:t>
      </w:r>
      <w:r w:rsidRPr="00C7098F">
        <w:rPr>
          <w:rFonts w:ascii="Times New Roman" w:eastAsia="Mariáš" w:hAnsi="Times New Roman" w:cs="Times New Roman"/>
          <w:b/>
          <w:bCs/>
          <w:sz w:val="14"/>
          <w:szCs w:val="14"/>
          <w:lang w:eastAsia="cs-CZ"/>
        </w:rPr>
        <w:t xml:space="preserve">         </w:t>
      </w:r>
      <w:r w:rsidRPr="00C709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Vyhodnocení výsledků</w:t>
      </w:r>
    </w:p>
    <w:p w:rsidR="00C7098F" w:rsidRPr="00C7098F" w:rsidRDefault="00C7098F" w:rsidP="00C7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hráče (soutěžní body) tvoří součet prémiových bodů a finančního výsledku (ziskových bodů), který se nejprve zaokrouhlí na celé koruny dohodou hráčů u stolu po skončení hry.</w:t>
      </w:r>
    </w:p>
    <w:p w:rsidR="00C7098F" w:rsidRPr="00C7098F" w:rsidRDefault="00C7098F" w:rsidP="00C709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Příloha: Bodovací tabulka</w:t>
      </w:r>
    </w:p>
    <w:p w:rsidR="00C7098F" w:rsidRPr="00C7098F" w:rsidRDefault="00C7098F" w:rsidP="00C7098F">
      <w:pPr>
        <w:spacing w:before="100" w:beforeAutospacing="1" w:after="100" w:afterAutospacing="1" w:line="256" w:lineRule="auto"/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sectPr w:rsidR="00C7098F" w:rsidRPr="00C7098F">
          <w:pgSz w:w="12240" w:h="15840"/>
          <w:pgMar w:top="1417" w:right="1417" w:bottom="1417" w:left="1417" w:header="708" w:footer="708" w:gutter="0"/>
          <w:cols w:space="708"/>
        </w:sectPr>
      </w:pPr>
    </w:p>
    <w:p w:rsidR="00C7098F" w:rsidRPr="00C7098F" w:rsidRDefault="00C7098F" w:rsidP="00C7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9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Výbor Českého svazu mariáše a STK</w:t>
      </w:r>
    </w:p>
    <w:p w:rsidR="00C7098F" w:rsidRDefault="00C7098F"/>
    <w:sectPr w:rsidR="00C7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iáš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F"/>
    <w:rsid w:val="00C7098F"/>
    <w:rsid w:val="00C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70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0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09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09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098F"/>
    <w:rPr>
      <w:b/>
      <w:bCs/>
    </w:rPr>
  </w:style>
  <w:style w:type="paragraph" w:styleId="Odstavecseseznamem">
    <w:name w:val="List Paragraph"/>
    <w:basedOn w:val="Normln"/>
    <w:uiPriority w:val="34"/>
    <w:qFormat/>
    <w:rsid w:val="00C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70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70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0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09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09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098F"/>
    <w:rPr>
      <w:b/>
      <w:bCs/>
    </w:rPr>
  </w:style>
  <w:style w:type="paragraph" w:styleId="Odstavecseseznamem">
    <w:name w:val="List Paragraph"/>
    <w:basedOn w:val="Normln"/>
    <w:uiPriority w:val="34"/>
    <w:qFormat/>
    <w:rsid w:val="00C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7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Miloš</dc:creator>
  <cp:lastModifiedBy>Kučera Miloš</cp:lastModifiedBy>
  <cp:revision>1</cp:revision>
  <dcterms:created xsi:type="dcterms:W3CDTF">2022-05-25T08:48:00Z</dcterms:created>
  <dcterms:modified xsi:type="dcterms:W3CDTF">2022-05-25T08:49:00Z</dcterms:modified>
</cp:coreProperties>
</file>